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7</w:t>
      </w:r>
      <w:r>
        <w:rPr>
          <w:rFonts w:cs="Times New Roman" w:ascii="Times New Roman" w:hAnsi="Times New Roman"/>
          <w:sz w:val="24"/>
          <w:szCs w:val="24"/>
        </w:rPr>
        <w:t>5 от «</w:t>
      </w:r>
      <w:r>
        <w:rPr>
          <w:rFonts w:cs="Times New Roman" w:ascii="Times New Roman" w:hAnsi="Times New Roman"/>
          <w:sz w:val="24"/>
          <w:szCs w:val="24"/>
        </w:rPr>
        <w:t>20</w:t>
      </w:r>
      <w:r>
        <w:rPr>
          <w:rFonts w:cs="Times New Roman" w:ascii="Times New Roman" w:hAnsi="Times New Roman"/>
          <w:sz w:val="24"/>
          <w:szCs w:val="24"/>
        </w:rPr>
        <w:t xml:space="preserve">» </w:t>
      </w:r>
      <w:r>
        <w:rPr>
          <w:rFonts w:cs="Times New Roman" w:ascii="Times New Roman" w:hAnsi="Times New Roman"/>
          <w:sz w:val="24"/>
          <w:szCs w:val="24"/>
        </w:rPr>
        <w:t>мая</w:t>
      </w:r>
      <w:r>
        <w:rPr>
          <w:rFonts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ДОКУМЕНТАЦИЯ О ПРОВЕДЕНИИ </w:t>
        <w:b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ПО.ж.26.</w:t>
      </w:r>
      <w:r>
        <w:rPr>
          <w:rFonts w:eastAsia="Times New Roman" w:cs="Times New Roman" w:ascii="Times New Roman" w:hAnsi="Times New Roman"/>
          <w:b/>
          <w:sz w:val="28"/>
          <w:szCs w:val="28"/>
          <w:lang w:eastAsia="ru-RU"/>
        </w:rPr>
        <w:t>2</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по осуществлению строительного контроля.</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ListParagraph"/>
        <w:numPr>
          <w:ilvl w:val="0"/>
          <w:numId w:val="11"/>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ПО.ж.26.</w:t>
      </w:r>
      <w:r>
        <w:rPr>
          <w:rFonts w:ascii="Times New Roman" w:hAnsi="Times New Roman"/>
          <w:b/>
          <w:bCs/>
          <w:sz w:val="28"/>
          <w:szCs w:val="28"/>
        </w:rPr>
        <w:t>2</w:t>
      </w:r>
    </w:p>
    <w:p>
      <w:pPr>
        <w:pStyle w:val="Normal"/>
        <w:tabs>
          <w:tab w:val="clear" w:pos="708"/>
          <w:tab w:val="left" w:pos="3060" w:leader="none"/>
        </w:tabs>
        <w:spacing w:lineRule="auto" w:line="240" w:before="0" w:after="0"/>
        <w:ind w:right="2"/>
        <w:jc w:val="both"/>
        <w:rPr>
          <w:rFonts w:ascii="Times New Roman" w:hAnsi="Times New Roman" w:cs="Times New Roman"/>
          <w:i/>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cs="Times New Roman" w:ascii="Times New Roman" w:hAnsi="Times New Roman"/>
          <w:i/>
          <w:sz w:val="24"/>
          <w:szCs w:val="24"/>
          <w:u w:val="single"/>
        </w:rPr>
        <w:t>оказание услуг по осуществлению строительного контроля</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r>
        <w:rPr>
          <w:rFonts w:eastAsia="Times New Roman" w:cs="Times New Roman" w:ascii="Times New Roman" w:hAnsi="Times New Roman"/>
          <w:b/>
          <w:sz w:val="24"/>
          <w:szCs w:val="24"/>
          <w:lang w:eastAsia="ru-RU"/>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w:t>
      </w:r>
      <w:r>
        <w:rPr>
          <w:rFonts w:ascii="Times New Roman" w:hAnsi="Times New Roman"/>
          <w:b/>
          <w:bCs/>
          <w:sz w:val="28"/>
          <w:szCs w:val="28"/>
        </w:rPr>
        <w:t>т</w:t>
      </w:r>
      <w:r>
        <w:rPr>
          <w:rFonts w:ascii="Times New Roman" w:hAnsi="Times New Roman"/>
          <w:b/>
          <w:bCs/>
          <w:sz w:val="28"/>
          <w:szCs w:val="28"/>
        </w:rPr>
        <w:t>боре (далее – Заявка):</w:t>
      </w:r>
      <w:r>
        <w:rPr>
          <w:rFonts w:ascii="Times New Roman" w:hAnsi="Times New Roman"/>
          <w:b/>
          <w:bCs/>
          <w:sz w:val="24"/>
        </w:rPr>
        <w:t xml:space="preserve"> </w:t>
      </w:r>
      <w:r>
        <w:rPr>
          <w:rFonts w:ascii="Times New Roman" w:hAnsi="Times New Roman"/>
          <w:bCs/>
          <w:sz w:val="24"/>
        </w:rPr>
        <w:t>«</w:t>
      </w:r>
      <w:r>
        <w:rPr>
          <w:rFonts w:ascii="Times New Roman" w:hAnsi="Times New Roman"/>
          <w:bCs/>
          <w:sz w:val="24"/>
        </w:rPr>
        <w:t>22</w:t>
      </w:r>
      <w:r>
        <w:rPr>
          <w:rFonts w:ascii="Times New Roman" w:hAnsi="Times New Roman"/>
          <w:bCs/>
          <w:sz w:val="24"/>
        </w:rPr>
        <w:t xml:space="preserve">» </w:t>
      </w:r>
      <w:r>
        <w:rPr>
          <w:rFonts w:ascii="Times New Roman" w:hAnsi="Times New Roman"/>
          <w:bCs/>
          <w:sz w:val="24"/>
        </w:rPr>
        <w:t>ма</w:t>
      </w:r>
      <w:r>
        <w:rPr>
          <w:rFonts w:ascii="Times New Roman" w:hAnsi="Times New Roman"/>
          <w:bCs/>
          <w:sz w:val="24"/>
        </w:rPr>
        <w:t xml:space="preserve">я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«1</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r>
    </w:p>
    <w:p>
      <w:pPr>
        <w:pStyle w:val="ListParagraph"/>
        <w:numPr>
          <w:ilvl w:val="0"/>
          <w:numId w:val="12"/>
        </w:numPr>
        <w:tabs>
          <w:tab w:val="clear" w:pos="708"/>
          <w:tab w:val="left" w:pos="284"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по осуществлению строительного контроля</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9"/>
        <w:gridCol w:w="3071"/>
        <w:gridCol w:w="6144"/>
      </w:tblGrid>
      <w:tr>
        <w:trPr>
          <w:tblHeader w:val="true"/>
          <w:trHeight w:val="458" w:hRule="atLeast"/>
        </w:trPr>
        <w:tc>
          <w:tcPr>
            <w:tcW w:w="709"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1"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9"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1"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оказанию услуг и (или) выполнению работ по капитальному ремонту общего имущества в многоквартирном доме по предмету предварительного отбора подрядных организаций «Оказание услуг по осуществлению строительного контроля»</w:t>
            </w:r>
          </w:p>
        </w:tc>
        <w:tc>
          <w:tcPr>
            <w:tcW w:w="61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к оказанию услуг.</w:t>
            </w:r>
          </w:p>
          <w:p>
            <w:pPr>
              <w:pStyle w:val="Normal"/>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Осуществление проверки выполнения работ при капитальном ремонте МКД на соответствие требованиям проектной и подготовленной на ее основе рабочей документации, а также контроль за выполнением работ по капитальному ремонту общего имущества многоквартирных домов, согласно проектно-сметной документации.</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3"/>
        </w:numPr>
        <w:spacing w:lineRule="auto" w:line="240" w:before="0" w:after="0"/>
        <w:ind w:hanging="0" w:left="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об оказании услуг и (или) выполнении работ</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Style w:val="Style15"/>
                <w:rFonts w:eastAsia="Calibri" w:cs="Times New Roman" w:ascii="Times New Roman" w:hAnsi="Times New Roman"/>
                <w:i/>
                <w:kern w:val="0"/>
                <w:sz w:val="24"/>
                <w:szCs w:val="24"/>
                <w:u w:val="single"/>
                <w:lang w:val="ru-RU" w:eastAsia="en-US" w:bidi="ar-SA"/>
              </w:rPr>
              <w:t>оказание услуг по осуществлению строительного контроля.</w:t>
            </w:r>
          </w:p>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Работы будут оказываться исполнителем в отношении объектов, указанных в ориентировочном адресном перечне,</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установленном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w:t>
            </w:r>
            <w:r>
              <w:rPr>
                <w:rFonts w:eastAsia="Calibri" w:cs="Times New Roman" w:ascii="Times New Roman" w:hAnsi="Times New Roman"/>
                <w:kern w:val="0"/>
                <w:sz w:val="28"/>
                <w:szCs w:val="28"/>
                <w:lang w:val="ru-RU" w:eastAsia="en-US" w:bidi="ar-SA"/>
              </w:rPr>
              <w:t xml:space="preserve"> </w:t>
            </w:r>
            <w:r>
              <w:rPr>
                <w:rFonts w:eastAsia="Calibri" w:cs="Times New Roman" w:ascii="Times New Roman" w:hAnsi="Times New Roman"/>
                <w:kern w:val="0"/>
                <w:sz w:val="24"/>
                <w:szCs w:val="24"/>
                <w:lang w:val="ru-RU" w:eastAsia="en-US" w:bidi="ar-SA"/>
              </w:rPr>
              <w:t xml:space="preserve">по </w:t>
            </w:r>
            <w:r>
              <w:rPr>
                <w:rFonts w:eastAsia="Calibri" w:cs="Times New Roman" w:ascii="Times New Roman" w:hAnsi="Times New Roman"/>
                <w:kern w:val="0"/>
                <w:sz w:val="24"/>
                <w:szCs w:val="24"/>
                <w:lang w:val="en-US" w:eastAsia="en-US" w:bidi="ar-SA"/>
              </w:rPr>
              <w:t>web</w:t>
            </w:r>
            <w:r>
              <w:rPr>
                <w:rFonts w:eastAsia="Calibri" w:cs="Times New Roman" w:ascii="Times New Roman" w:hAnsi="Times New Roman"/>
                <w:kern w:val="0"/>
                <w:sz w:val="24"/>
                <w:szCs w:val="24"/>
                <w:lang w:val="ru-RU" w:eastAsia="en-US" w:bidi="ar-SA"/>
              </w:rPr>
              <w:t xml:space="preserve">-адресу: </w:t>
            </w:r>
            <w:r>
              <w:rPr>
                <w:rStyle w:val="Style15"/>
                <w:rFonts w:eastAsia="Calibri" w:cs="Times New Roman" w:ascii="Times New Roman" w:hAnsi="Times New Roman"/>
                <w:kern w:val="0"/>
                <w:sz w:val="24"/>
                <w:szCs w:val="24"/>
                <w:lang w:val="ru-RU" w:eastAsia="en-US" w:bidi="ar-SA"/>
              </w:rPr>
              <w:t xml:space="preserve">http://www.kaprem37.ru/ в разделе </w:t>
            </w:r>
            <w:r>
              <w:rPr>
                <w:rFonts w:eastAsia="Calibri" w:cs="Times New Roman" w:ascii="Times New Roman" w:hAnsi="Times New Roman"/>
                <w:kern w:val="0"/>
                <w:sz w:val="24"/>
                <w:szCs w:val="24"/>
                <w:lang w:val="ru-RU" w:eastAsia="en-US" w:bidi="ar-SA"/>
              </w:rPr>
              <w:t>- «Региональная программа»</w:t>
            </w:r>
            <w:r>
              <w:rPr>
                <w:rStyle w:val="Style15"/>
                <w:rFonts w:eastAsia="Calibri" w:cs="Times New Roman" w:ascii="Times New Roman" w:hAnsi="Times New Roman"/>
                <w:kern w:val="0"/>
                <w:sz w:val="24"/>
                <w:szCs w:val="24"/>
                <w:lang w:val="ru-RU" w:eastAsia="en-US" w:bidi="ar-SA"/>
              </w:rPr>
              <w:t>.</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Normal"/>
              <w:widowControl/>
              <w:shd w:val="clear" w:color="auto" w:fill="FFFFFF" w:themeFill="background1"/>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kern w:val="0"/>
                <w:sz w:val="24"/>
                <w:szCs w:val="24"/>
                <w:lang w:val="ru-RU" w:eastAsia="ru-RU" w:bidi="ar-SA"/>
              </w:rPr>
              <w:t>1. Определяется по итогам проведения электронного аукциона.</w:t>
            </w:r>
          </w:p>
          <w:p>
            <w:pPr>
              <w:pStyle w:val="Normal"/>
              <w:widowControl/>
              <w:shd w:val="clear" w:color="auto" w:fill="FFFFFF" w:themeFill="background1"/>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kern w:val="0"/>
                <w:sz w:val="24"/>
                <w:szCs w:val="24"/>
                <w:lang w:val="ru-RU" w:eastAsia="ru-RU"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pacing w:lineRule="auto" w:line="240" w:before="0" w:after="0"/>
              <w:ind w:left="0"/>
              <w:contextualSpacing/>
              <w:jc w:val="both"/>
              <w:rPr>
                <w:rFonts w:ascii="Times New Roman" w:hAnsi="Times New Roman" w:eastAsia="Calibri" w:cs="Times New Roman"/>
                <w:sz w:val="24"/>
                <w:szCs w:val="24"/>
              </w:rPr>
            </w:pPr>
            <w:r>
              <w:rPr>
                <w:rFonts w:eastAsia="Times New Roman" w:cs="Times New Roman" w:ascii="Times New Roman" w:hAnsi="Times New Roman"/>
                <w:color w:val="000000"/>
                <w:kern w:val="0"/>
                <w:sz w:val="24"/>
                <w:szCs w:val="24"/>
                <w:lang w:val="ru-RU" w:eastAsia="ru-RU" w:bidi="ar-SA"/>
              </w:rPr>
              <w:t xml:space="preserve">3. </w:t>
            </w:r>
            <w:r>
              <w:rPr>
                <w:rFonts w:eastAsia="Calibri" w:cs="Times New Roman" w:ascii="Times New Roman" w:hAnsi="Times New Roman"/>
                <w:kern w:val="0"/>
                <w:sz w:val="24"/>
                <w:szCs w:val="24"/>
                <w:lang w:val="ru-RU" w:eastAsia="en-US" w:bidi="ar-SA"/>
              </w:rPr>
              <w:t>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Normal"/>
              <w:widowControl/>
              <w:shd w:val="clear" w:color="auto" w:fill="FFFFFF" w:themeFill="background1"/>
              <w:spacing w:lineRule="auto" w:line="240" w:before="0" w:after="0"/>
              <w:jc w:val="both"/>
              <w:rPr>
                <w:rStyle w:val="Style15"/>
                <w:rFonts w:ascii="Times New Roman" w:hAnsi="Times New Roman" w:eastAsia="Times New Roman" w:cs="Times New Roman"/>
                <w:color w:val="000000"/>
                <w:sz w:val="24"/>
                <w:szCs w:val="24"/>
                <w:lang w:eastAsia="ru-RU"/>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 услуг</w:t>
            </w:r>
          </w:p>
        </w:tc>
        <w:tc>
          <w:tcPr>
            <w:tcW w:w="7371" w:type="dxa"/>
            <w:tcBorders/>
          </w:tcPr>
          <w:p>
            <w:pPr>
              <w:pStyle w:val="Normal"/>
              <w:widowControl/>
              <w:shd w:val="clear" w:color="auto" w:fill="FFFFFF" w:themeFill="background1"/>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Оплата по договору осуществляется за счет средств, сформированных собственниками помещений в многоквартирном доме фонда капитального ремонта на основании Закона Ивановской области от 27.06.2013 № 51-ОЗ «Об организации проведения капитального ремонта общего имущества в многоквартирных домах в Ивановской области».</w:t>
            </w:r>
          </w:p>
          <w:p>
            <w:pPr>
              <w:pStyle w:val="Normal"/>
              <w:widowControl/>
              <w:shd w:val="clear" w:color="auto" w:fill="FFFFFF" w:themeFill="background1"/>
              <w:spacing w:lineRule="auto" w:line="240" w:before="0" w:after="0"/>
              <w:jc w:val="both"/>
              <w:rPr>
                <w:rStyle w:val="Style15"/>
                <w:rFonts w:ascii="Times New Roman" w:hAnsi="Times New Roman" w:eastAsia="Times New Roman" w:cs="Times New Roman"/>
                <w:sz w:val="22"/>
                <w:szCs w:val="22"/>
                <w:lang w:eastAsia="ru-RU"/>
              </w:rPr>
            </w:pPr>
            <w:r>
              <w:rPr>
                <w:rFonts w:eastAsia="Times New Roman" w:cs="Times New Roman" w:ascii="Times New Roman" w:hAnsi="Times New Roman"/>
                <w:kern w:val="0"/>
                <w:sz w:val="24"/>
                <w:szCs w:val="24"/>
                <w:lang w:val="ru-RU" w:eastAsia="ru-RU" w:bidi="ar-SA"/>
              </w:rPr>
              <w:t>Порядок и сроки оплаты услуг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 оказанных услуг</w:t>
            </w:r>
          </w:p>
        </w:tc>
        <w:tc>
          <w:tcPr>
            <w:tcW w:w="7371" w:type="dxa"/>
            <w:tcBorders/>
          </w:tcPr>
          <w:p>
            <w:pPr>
              <w:pStyle w:val="ConsPlusNormal1"/>
              <w:spacing w:before="0" w:after="0"/>
              <w:jc w:val="both"/>
              <w:rPr>
                <w:rStyle w:val="Style15"/>
              </w:rPr>
            </w:pPr>
            <w:r>
              <w:rPr>
                <w:rStyle w:val="Style15"/>
                <w:rFonts w:cs="Times New Roman" w:ascii="Times New Roman" w:hAnsi="Times New Roman"/>
                <w:kern w:val="0"/>
                <w:sz w:val="24"/>
                <w:szCs w:val="24"/>
                <w:lang w:val="ru-RU" w:bidi="ar-SA"/>
              </w:rPr>
              <w:t>Порядок и сроки приемки оказанных услуг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w:t>
            </w:r>
          </w:p>
        </w:tc>
        <w:tc>
          <w:tcPr>
            <w:tcW w:w="7371" w:type="dxa"/>
            <w:tcBorders/>
            <w:vAlign w:val="center"/>
          </w:tcPr>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u w:val="single"/>
                <w:lang w:val="ru-RU" w:bidi="ar-SA"/>
              </w:rPr>
              <w:t xml:space="preserve"> </w:t>
            </w:r>
            <w:r>
              <w:rPr>
                <w:rStyle w:val="Style15"/>
                <w:rFonts w:cs="Times New Roman" w:ascii="Times New Roman" w:hAnsi="Times New Roman"/>
                <w:i/>
                <w:kern w:val="0"/>
                <w:sz w:val="24"/>
                <w:szCs w:val="24"/>
                <w:u w:val="single"/>
                <w:lang w:val="ru-RU" w:bidi="ar-SA"/>
              </w:rPr>
              <w:t>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б) обеспечительным платежом.</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ConsPlusNormal1"/>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 xml:space="preserve">б) </w:t>
            </w:r>
            <w:r>
              <w:rPr>
                <w:rFonts w:eastAsia="Calibri" w:cs="Times New Roman" w:ascii="Times New Roman" w:hAnsi="Times New Roman"/>
                <w:kern w:val="0"/>
                <w:sz w:val="24"/>
                <w:szCs w:val="24"/>
                <w:lang w:val="ru-RU" w:eastAsia="en-US" w:bidi="ar-SA"/>
              </w:rPr>
              <w:t>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ConsPlusNormal1"/>
              <w:tabs>
                <w:tab w:val="clear" w:pos="708"/>
                <w:tab w:val="left" w:pos="601" w:leader="none"/>
              </w:tabs>
              <w:spacing w:before="0" w:after="0"/>
              <w:jc w:val="both"/>
              <w:rPr>
                <w:rFonts w:ascii="Times New Roman" w:hAnsi="Times New Roman" w:eastAsia="Calibri" w:cs="Times New Roman"/>
                <w:color w:val="FF0000"/>
                <w:sz w:val="24"/>
                <w:szCs w:val="24"/>
                <w:lang w:eastAsia="en-US"/>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ConsPlusNormal1"/>
              <w:tabs>
                <w:tab w:val="clear" w:pos="708"/>
                <w:tab w:val="left" w:pos="601" w:leader="none"/>
              </w:tabs>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 xml:space="preserve">7. В </w:t>
            </w:r>
            <w:r>
              <w:rPr>
                <w:rFonts w:cs="Times New Roman" w:ascii="Times New Roman" w:hAnsi="Times New Roman"/>
                <w:kern w:val="0"/>
                <w:sz w:val="24"/>
                <w:szCs w:val="24"/>
                <w:lang w:val="ru-RU" w:bidi="ar-SA"/>
              </w:rPr>
              <w:t>документации о проведении электронного аукциона</w:t>
            </w:r>
            <w:r>
              <w:rPr>
                <w:rStyle w:val="Style15"/>
                <w:rFonts w:cs="Times New Roman" w:ascii="Times New Roman" w:hAnsi="Times New Roman"/>
                <w:kern w:val="0"/>
                <w:sz w:val="24"/>
                <w:szCs w:val="24"/>
                <w:lang w:val="ru-RU"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pacing w:before="0" w:after="0"/>
              <w:ind w:left="41"/>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pacing w:before="0" w:after="0"/>
              <w:ind w:left="41"/>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оказание услуг не может быть менее 5 лет со дня подписания соответствующего акта о приемке оказанных услуг.</w:t>
            </w:r>
          </w:p>
        </w:tc>
      </w:tr>
      <w:tr>
        <w:trPr>
          <w:trHeight w:val="1137" w:hRule="atLeast"/>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исполнителя</w:t>
            </w:r>
          </w:p>
        </w:tc>
        <w:tc>
          <w:tcPr>
            <w:tcW w:w="7371" w:type="dxa"/>
            <w:tcBorders/>
          </w:tcPr>
          <w:p>
            <w:pPr>
              <w:pStyle w:val="ConsPlusNormal1"/>
              <w:tabs>
                <w:tab w:val="clear" w:pos="708"/>
                <w:tab w:val="left" w:pos="600"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оказание услуг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pacing w:before="0" w:after="0"/>
              <w:ind w:left="38"/>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pacing w:before="0" w:after="0"/>
              <w:ind w:firstLine="320" w:left="5"/>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Предмет договора, место оказания услуг, сроки оказания услуг, продолжительность этапов оказания услуг, виды услуг не могут изменяться в ходе его исполнения.</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9"/>
        </w:numPr>
        <w:tabs>
          <w:tab w:val="clear" w:pos="708"/>
          <w:tab w:val="left" w:pos="426" w:leader="none"/>
        </w:tabs>
        <w:spacing w:lineRule="auto" w:line="240" w:before="0" w:after="0"/>
        <w:contextualSpacing/>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Hyperlink"/>
            <w:rFonts w:ascii="Arial" w:hAnsi="Arial" w:cs="Times New Roman"/>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9"/>
        </w:numPr>
        <w:tabs>
          <w:tab w:val="clear" w:pos="708"/>
          <w:tab w:val="left" w:pos="284" w:leader="none"/>
        </w:tabs>
        <w:spacing w:lineRule="auto" w:line="240" w:before="0" w:after="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i/>
          <w:i/>
          <w:sz w:val="28"/>
          <w:szCs w:val="28"/>
          <w:u w:val="single"/>
        </w:rPr>
      </w:pPr>
      <w:r>
        <w:rPr>
          <w:rFonts w:cs="Times New Roman" w:ascii="Times New Roman" w:hAnsi="Times New Roman"/>
          <w:sz w:val="28"/>
          <w:szCs w:val="28"/>
        </w:rPr>
        <w:t>При проведении предварительного отбора по предмету последующего электронного аукциона</w:t>
      </w:r>
      <w:r>
        <w:rPr>
          <w:rFonts w:cs="Times New Roman" w:ascii="Times New Roman" w:hAnsi="Times New Roman"/>
          <w:i/>
          <w:sz w:val="28"/>
          <w:szCs w:val="28"/>
          <w:u w:val="single"/>
        </w:rPr>
        <w:t xml:space="preserve"> </w:t>
      </w:r>
      <w:r>
        <w:rPr>
          <w:rStyle w:val="Style15"/>
          <w:rFonts w:cs="Times New Roman" w:ascii="Times New Roman" w:hAnsi="Times New Roman"/>
          <w:i/>
          <w:sz w:val="28"/>
          <w:szCs w:val="28"/>
          <w:u w:val="single"/>
        </w:rPr>
        <w:t xml:space="preserve">оказание услуг по осуществлению строительного контроля </w:t>
      </w:r>
      <w:r>
        <w:rPr>
          <w:rFonts w:cs="Times New Roman" w:ascii="Times New Roman" w:hAnsi="Times New Roman"/>
          <w:sz w:val="28"/>
          <w:szCs w:val="28"/>
        </w:rPr>
        <w:t>устанавливаются следующие требования к его участникам (далее – Участник):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членство Участника в саморегулируемой организации в области строительства, реконструкции, капитального ремонта объектов капитального строительства,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 </w:t>
      </w:r>
      <w:r>
        <w:rPr>
          <w:rFonts w:eastAsia="Calibri" w:cs="Times New Roman" w:ascii="Times New Roman" w:hAnsi="Times New Roman"/>
          <w:sz w:val="28"/>
          <w:szCs w:val="28"/>
        </w:rPr>
        <w:t>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eastAsia="Calibri" w:cs="Times New Roman"/>
          <w:sz w:val="28"/>
          <w:szCs w:val="28"/>
        </w:rPr>
      </w:pPr>
      <w:r>
        <w:rPr>
          <w:rFonts w:cs="Times New Roman" w:ascii="Times New Roman" w:hAnsi="Times New Roman"/>
          <w:sz w:val="28"/>
          <w:szCs w:val="28"/>
        </w:rPr>
        <w:t xml:space="preserve">л) </w:t>
      </w:r>
      <w:r>
        <w:rPr>
          <w:rFonts w:eastAsia="Calibri" w:cs="Times New Roman" w:ascii="Times New Roman" w:hAnsi="Times New Roman"/>
          <w:sz w:val="28"/>
          <w:szCs w:val="28"/>
        </w:rPr>
        <w:t>наличие у Участника предварительного отбора в штате минимального количества квалифицированного персонала:</w:t>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7"/>
        <w:gridCol w:w="2126"/>
        <w:gridCol w:w="1841"/>
        <w:gridCol w:w="2408"/>
        <w:gridCol w:w="1558"/>
      </w:tblGrid>
      <w:tr>
        <w:trPr>
          <w:trHeight w:val="9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6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11"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4</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i/>
          <w:sz w:val="18"/>
          <w:szCs w:val="18"/>
          <w:lang w:eastAsia="ru-RU"/>
        </w:rPr>
        <w:t>**</w:t>
      </w:r>
      <w:r>
        <w:rPr>
          <w:rFonts w:eastAsia="Times New Roman" w:cs="Times New Roman" w:ascii="Times New Roman" w:hAnsi="Times New Roman"/>
          <w:sz w:val="18"/>
          <w:szCs w:val="18"/>
          <w:lang w:eastAsia="ru-RU"/>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sz w:val="18"/>
          <w:szCs w:val="18"/>
          <w:lang w:eastAsia="ru-RU"/>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eastAsia="Calibri" w:cs="Times New Roman"/>
          <w:sz w:val="28"/>
          <w:szCs w:val="28"/>
        </w:rPr>
      </w:pPr>
      <w:r>
        <w:rPr>
          <w:rFonts w:cs="Times New Roman" w:ascii="Times New Roman" w:hAnsi="Times New Roman"/>
          <w:sz w:val="28"/>
          <w:szCs w:val="28"/>
        </w:rPr>
        <w:t xml:space="preserve">м) </w:t>
      </w:r>
      <w:r>
        <w:rPr>
          <w:rFonts w:eastAsia="Calibri" w:cs="Times New Roman" w:ascii="Times New Roman" w:hAnsi="Times New Roman"/>
          <w:sz w:val="28"/>
          <w:szCs w:val="28"/>
        </w:rPr>
        <w:t>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н)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подписать Заявку усиленной неквалифицированной электронной подписью.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б)</w:t>
      </w:r>
      <w:r>
        <w:rPr/>
        <w:t xml:space="preserve"> </w:t>
      </w:r>
      <w:r>
        <w:rPr>
          <w:rStyle w:val="Style15"/>
          <w:rFonts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е)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з) 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и)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к)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л)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cs="Times New Roman"/>
          <w:i/>
          <w:i/>
          <w:sz w:val="28"/>
          <w:szCs w:val="28"/>
        </w:rPr>
      </w:pPr>
      <w:r>
        <w:rPr>
          <w:rStyle w:val="Style15"/>
          <w:rFonts w:cs="Times New Roman" w:ascii="Times New Roman" w:hAnsi="Times New Roman"/>
          <w:sz w:val="28"/>
          <w:szCs w:val="28"/>
        </w:rPr>
        <w:t>м)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Регистрация на электронной площадке, а также участие в предварительном отборе осуществляется без взимания платы с Участника.</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Участник в рамках извещения о проведении предварительного отбора </w:t>
      </w:r>
      <w:r>
        <w:rPr>
          <w:rFonts w:cs="Times New Roman" w:ascii="Times New Roman" w:hAnsi="Times New Roman"/>
          <w:b/>
          <w:sz w:val="28"/>
          <w:szCs w:val="28"/>
        </w:rPr>
        <w:t>№ ПО.ж.26.</w:t>
      </w:r>
      <w:r>
        <w:rPr>
          <w:rFonts w:cs="Times New Roman" w:ascii="Times New Roman" w:hAnsi="Times New Roman"/>
          <w:b/>
          <w:sz w:val="28"/>
          <w:szCs w:val="28"/>
        </w:rPr>
        <w:t>2</w:t>
      </w:r>
      <w:r>
        <w:rPr>
          <w:rFonts w:cs="Times New Roman" w:ascii="Times New Roman" w:hAnsi="Times New Roman"/>
          <w:b/>
          <w:sz w:val="28"/>
          <w:szCs w:val="28"/>
        </w:rPr>
        <w:t xml:space="preserve"> от </w:t>
      </w:r>
      <w:r>
        <w:rPr>
          <w:rFonts w:cs="Times New Roman" w:ascii="Times New Roman" w:hAnsi="Times New Roman"/>
          <w:b/>
          <w:sz w:val="28"/>
          <w:szCs w:val="28"/>
        </w:rPr>
        <w:t>21</w:t>
      </w:r>
      <w:r>
        <w:rPr>
          <w:rFonts w:cs="Times New Roman" w:ascii="Times New Roman" w:hAnsi="Times New Roman"/>
          <w:b/>
          <w:sz w:val="28"/>
          <w:szCs w:val="28"/>
        </w:rPr>
        <w:t>.0</w:t>
      </w:r>
      <w:r>
        <w:rPr>
          <w:rFonts w:cs="Times New Roman" w:ascii="Times New Roman" w:hAnsi="Times New Roman"/>
          <w:b/>
          <w:sz w:val="28"/>
          <w:szCs w:val="28"/>
        </w:rPr>
        <w:t>5</w:t>
      </w:r>
      <w:r>
        <w:rPr>
          <w:rFonts w:cs="Times New Roman" w:ascii="Times New Roman" w:hAnsi="Times New Roman"/>
          <w:b/>
          <w:sz w:val="28"/>
          <w:szCs w:val="28"/>
        </w:rPr>
        <w:t>.2026</w:t>
      </w:r>
      <w:r>
        <w:rPr>
          <w:rFonts w:cs="Times New Roman" w:ascii="Times New Roman" w:hAnsi="Times New Roman"/>
          <w:sz w:val="28"/>
          <w:szCs w:val="28"/>
        </w:rPr>
        <w:t xml:space="preserve"> (далее – Извещение)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изменить.</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pPr>
        <w:pStyle w:val="ConsPlusNormal1"/>
        <w:numPr>
          <w:ilvl w:val="0"/>
          <w:numId w:val="3"/>
        </w:numPr>
        <w:tabs>
          <w:tab w:val="clear" w:pos="708"/>
          <w:tab w:val="left" w:pos="1276" w:leader="none"/>
        </w:tabs>
        <w:ind w:firstLine="851" w:left="0"/>
        <w:jc w:val="both"/>
        <w:rPr>
          <w:rFonts w:ascii="Times New Roman" w:hAnsi="Times New Roman" w:cs="Times New Roman"/>
          <w:sz w:val="28"/>
          <w:szCs w:val="28"/>
        </w:rPr>
      </w:pPr>
      <w:r>
        <w:rPr>
          <w:rFonts w:cs="Times New Roman" w:ascii="Times New Roman" w:hAnsi="Times New Roman"/>
          <w:sz w:val="28"/>
          <w:szCs w:val="28"/>
        </w:rPr>
        <w:t xml:space="preserve">Заявка подается Участником не ранее даты, указанной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поданные ранее даты и времени, указанные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Каждая Заявка, поступившая в установленные сроки, регистрируется оператором электронной площадки, с присвоением порядкового номера.</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Установленные дата и время окончания срока подачи Заявок могут быть продлены Органом по ведению РКП в случаях, предусмотренных нормами действующего законодательства Российской Федерации.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запрос о разъяснении Документации о проведении предварительного отбора (далее –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4</w:t>
      </w:r>
      <w:r>
        <w:rPr>
          <w:rFonts w:cs="Times New Roman" w:ascii="Times New Roman" w:hAnsi="Times New Roman"/>
          <w:b/>
          <w:sz w:val="28"/>
          <w:szCs w:val="28"/>
        </w:rPr>
        <w:t xml:space="preserve"> </w:t>
      </w:r>
      <w:r>
        <w:rPr>
          <w:rFonts w:cs="Times New Roman" w:ascii="Times New Roman" w:hAnsi="Times New Roman"/>
          <w:b/>
          <w:sz w:val="28"/>
          <w:szCs w:val="28"/>
        </w:rPr>
        <w:t>июня</w:t>
      </w:r>
      <w:r>
        <w:rPr>
          <w:rFonts w:cs="Times New Roman" w:ascii="Times New Roman" w:hAnsi="Times New Roman"/>
          <w:b/>
          <w:sz w:val="28"/>
          <w:szCs w:val="28"/>
        </w:rPr>
        <w:t xml:space="preserve"> 2026 г</w:t>
      </w:r>
      <w:r>
        <w:rPr>
          <w:rFonts w:cs="Times New Roman" w:ascii="Times New Roman" w:hAnsi="Times New Roman"/>
          <w:sz w:val="28"/>
          <w:szCs w:val="28"/>
        </w:rPr>
        <w:t>. включительно.</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center"/>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9"/>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Порядок рассмотрения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Общие положения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Участие в предварительном отборе и заседаниях Комиссии осуществляется без взимания платы с Участника.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Порядок рассмотрения Заявок</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основании результатов рассмотрения Заявок и Участников Комиссия принимает одно из следующих решений:</w:t>
      </w:r>
    </w:p>
    <w:p>
      <w:pPr>
        <w:pStyle w:val="Normal"/>
        <w:widowControl w:val="false"/>
        <w:tabs>
          <w:tab w:val="clear" w:pos="708"/>
          <w:tab w:val="left" w:pos="1134" w:leader="none"/>
        </w:tabs>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включение Участника в реестр квалифицированных подрядных организаций;</w:t>
      </w:r>
    </w:p>
    <w:p>
      <w:pPr>
        <w:pStyle w:val="Normal"/>
        <w:widowControl w:val="false"/>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отказ во включении Участника в реестр квалифицированных подрядных организаций.</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несоответствие Участника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несоответствие Заявки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Принятие решения о признании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Предварительный отбор признается Комиссией несостоявшимся в следующих случаях:</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Протокол заседания Комиссии</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 xml:space="preserve">___ </w:t>
      </w:r>
      <w:r>
        <w:rPr>
          <w:rFonts w:cs="Times New Roman" w:ascii="Times New Roman" w:hAnsi="Times New Roman"/>
          <w:b/>
          <w:sz w:val="24"/>
          <w:szCs w:val="24"/>
        </w:rPr>
        <w:t xml:space="preserve">ОТ </w:t>
      </w:r>
      <w:r>
        <w:rPr>
          <w:rFonts w:cs="Times New Roman" w:ascii="Times New Roman" w:hAnsi="Times New Roman"/>
          <w:sz w:val="24"/>
          <w:szCs w:val="24"/>
        </w:rPr>
        <w:t>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120" w:after="0"/>
        <w:ind w:firstLine="709"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           (указывается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bookmarkStart w:id="0" w:name="_GoBack"/>
      <w:bookmarkStart w:id="1" w:name="_GoBack"/>
      <w:bookmarkEnd w:id="1"/>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tru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 xml:space="preserve">(указывается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 </w:t>
      </w:r>
      <w:r>
        <w:rPr>
          <w:rFonts w:eastAsia="Times New Roman" w:cs="Times New Roman" w:ascii="Times New Roman" w:hAnsi="Times New Roman"/>
          <w:bCs/>
          <w:sz w:val="24"/>
          <w:szCs w:val="24"/>
          <w:u w:val="single"/>
          <w:lang w:eastAsia="ru-RU"/>
        </w:rPr>
        <w:t xml:space="preserve">       .</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9"/>
        <w:gridCol w:w="2156"/>
        <w:gridCol w:w="1700"/>
        <w:gridCol w:w="1418"/>
        <w:gridCol w:w="1730"/>
        <w:gridCol w:w="2522"/>
      </w:tblGrid>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9"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2"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8"/>
          <w:szCs w:val="28"/>
        </w:rPr>
      </w:pPr>
      <w:r>
        <w:rPr>
          <w:rFonts w:eastAsia="Times New Roman" w:cs="Times New Roman" w:ascii="Times New Roman" w:hAnsi="Times New Roman"/>
          <w:spacing w:val="-1"/>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1851" w:hanging="360"/>
      </w:pPr>
      <w:rPr/>
    </w:lvl>
    <w:lvl w:ilvl="1">
      <w:start w:val="1"/>
      <w:numFmt w:val="lowerLetter"/>
      <w:lvlText w:val="%2."/>
      <w:lvlJc w:val="left"/>
      <w:pPr>
        <w:tabs>
          <w:tab w:val="num" w:pos="0"/>
        </w:tabs>
        <w:ind w:left="2571" w:hanging="360"/>
      </w:pPr>
      <w:rPr/>
    </w:lvl>
    <w:lvl w:ilvl="2">
      <w:start w:val="1"/>
      <w:numFmt w:val="lowerRoman"/>
      <w:lvlText w:val="%3."/>
      <w:lvlJc w:val="right"/>
      <w:pPr>
        <w:tabs>
          <w:tab w:val="num" w:pos="0"/>
        </w:tabs>
        <w:ind w:left="3291" w:hanging="180"/>
      </w:pPr>
      <w:rPr/>
    </w:lvl>
    <w:lvl w:ilvl="3">
      <w:start w:val="1"/>
      <w:numFmt w:val="decimal"/>
      <w:lvlText w:val="%4."/>
      <w:lvlJc w:val="left"/>
      <w:pPr>
        <w:tabs>
          <w:tab w:val="num" w:pos="0"/>
        </w:tabs>
        <w:ind w:left="4011" w:hanging="360"/>
      </w:pPr>
      <w:rPr/>
    </w:lvl>
    <w:lvl w:ilvl="4">
      <w:start w:val="1"/>
      <w:numFmt w:val="lowerLetter"/>
      <w:lvlText w:val="%5."/>
      <w:lvlJc w:val="left"/>
      <w:pPr>
        <w:tabs>
          <w:tab w:val="num" w:pos="0"/>
        </w:tabs>
        <w:ind w:left="4731" w:hanging="360"/>
      </w:pPr>
      <w:rPr/>
    </w:lvl>
    <w:lvl w:ilvl="5">
      <w:start w:val="1"/>
      <w:numFmt w:val="lowerRoman"/>
      <w:lvlText w:val="%6."/>
      <w:lvlJc w:val="right"/>
      <w:pPr>
        <w:tabs>
          <w:tab w:val="num" w:pos="0"/>
        </w:tabs>
        <w:ind w:left="5451" w:hanging="180"/>
      </w:pPr>
      <w:rPr/>
    </w:lvl>
    <w:lvl w:ilvl="6">
      <w:start w:val="1"/>
      <w:numFmt w:val="decimal"/>
      <w:lvlText w:val="%7."/>
      <w:lvlJc w:val="left"/>
      <w:pPr>
        <w:tabs>
          <w:tab w:val="num" w:pos="0"/>
        </w:tabs>
        <w:ind w:left="6171" w:hanging="360"/>
      </w:pPr>
      <w:rPr/>
    </w:lvl>
    <w:lvl w:ilvl="7">
      <w:start w:val="1"/>
      <w:numFmt w:val="lowerLetter"/>
      <w:lvlText w:val="%8."/>
      <w:lvlJc w:val="left"/>
      <w:pPr>
        <w:tabs>
          <w:tab w:val="num" w:pos="0"/>
        </w:tabs>
        <w:ind w:left="6891" w:hanging="360"/>
      </w:pPr>
      <w:rPr/>
    </w:lvl>
    <w:lvl w:ilvl="8">
      <w:start w:val="1"/>
      <w:numFmt w:val="lowerRoman"/>
      <w:lvlText w:val="%9."/>
      <w:lvlJc w:val="right"/>
      <w:pPr>
        <w:tabs>
          <w:tab w:val="num" w:pos="0"/>
        </w:tabs>
        <w:ind w:left="7611"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3192" w:hanging="360"/>
      </w:pPr>
      <w:rPr>
        <w:b/>
      </w:rPr>
    </w:lvl>
    <w:lvl w:ilvl="1">
      <w:start w:val="1"/>
      <w:numFmt w:val="decimal"/>
      <w:lvlText w:val="%1.%2."/>
      <w:lvlJc w:val="left"/>
      <w:pPr>
        <w:tabs>
          <w:tab w:val="num" w:pos="0"/>
        </w:tabs>
        <w:ind w:left="1850"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4"/>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8"/>
    <w:lvlOverride w:ilvl="0">
      <w:startOverride w:val="1"/>
    </w:lvlOverride>
  </w:num>
  <w:num w:numId="12">
    <w:abstractNumId w:val="8"/>
  </w:num>
  <w:num w:numId="13">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4"/>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1c2a6b"/>
    <w:rPr/>
  </w:style>
  <w:style w:type="character" w:styleId="ConsPlusNormal" w:customStyle="1">
    <w:name w:val="ConsPlusNormal Знак"/>
    <w:basedOn w:val="DefaultParagraphFont"/>
    <w:link w:val="ConsPlusNormal1"/>
    <w:qFormat/>
    <w:locked/>
    <w:rsid w:val="001c2a6b"/>
    <w:rPr>
      <w:rFonts w:ascii="Arial" w:hAnsi="Arial" w:eastAsia="" w:cs="Arial" w:eastAsiaTheme="minorEastAsia"/>
      <w:sz w:val="20"/>
      <w:szCs w:val="20"/>
      <w:lang w:eastAsia="ru-RU"/>
    </w:rPr>
  </w:style>
  <w:style w:type="character" w:styleId="Hyperlink">
    <w:name w:val="Hyperlink"/>
    <w:rPr>
      <w:color w:val="000080"/>
      <w:u w:val="single"/>
    </w:rPr>
  </w:style>
  <w:style w:type="paragraph" w:styleId="Style2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4"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bidi w:val="0"/>
      <w:spacing w:lineRule="auto" w:line="240" w:before="0" w:after="0"/>
      <w:jc w:val="left"/>
    </w:pPr>
    <w:rPr>
      <w:rFonts w:ascii="Arial" w:hAnsi="Arial" w:eastAsia="" w:cs="Arial" w:eastAsiaTheme="minorEastAsia"/>
      <w:color w:val="auto"/>
      <w:kern w:val="0"/>
      <w:sz w:val="20"/>
      <w:szCs w:val="20"/>
      <w:lang w:eastAsia="ru-RU" w:val="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5"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881B3-54C3-44C0-AF53-C54E043B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Application>LibreOffice/24.2.4.2$Windows_X86_64 LibreOffice_project/51a6219feb6075d9a4c46691dcfe0cd9c4fff3c2</Application>
  <AppVersion>15.0000</AppVersion>
  <Pages>19</Pages>
  <Words>4798</Words>
  <Characters>35416</Characters>
  <CharactersWithSpaces>40066</CharactersWithSpaces>
  <Paragraphs>297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2017-11-30T17:35:00Z</dcterms:created>
  <dc:creator>Василий</dc:creator>
  <dc:description/>
  <dc:language>ru-RU</dc:language>
  <cp:lastModifiedBy/>
  <cp:lastPrinted>2018-11-21T14:05:00Z</cp:lastPrinted>
  <dcterms:modified xsi:type="dcterms:W3CDTF">2026-05-21T14:11:27Z</dcterms:modified>
  <cp:revision>67</cp:revision>
  <dc:subject/>
  <dc:title/>
</cp:coreProperties>
</file>

<file path=docProps/custom.xml><?xml version="1.0" encoding="utf-8"?>
<Properties xmlns="http://schemas.openxmlformats.org/officeDocument/2006/custom-properties" xmlns:vt="http://schemas.openxmlformats.org/officeDocument/2006/docPropsVTypes"/>
</file>